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"http://doy64.ucoz.ru/_tbkp/korrypcia/ukaz_prezidenta_460.pdf" </w:instrTex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proofErr w:type="gramStart"/>
      <w:r w:rsidRPr="000A688A">
        <w:rPr>
          <w:rStyle w:val="a3"/>
          <w:rFonts w:ascii="Times New Roman" w:hAnsi="Times New Roman" w:cs="Times New Roman"/>
          <w:color w:val="4E8700"/>
          <w:sz w:val="24"/>
          <w:szCs w:val="24"/>
        </w:rPr>
        <w:t>Указом Президента Российской Федерации от 13.04.2010 года № 460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> «О Национальной стратегии противодействия коррупции и Национальном плане противодействия коррупции на 2010-2011 годы» утверждена Национальная стратегия противодействия коррупции, которая представляет собой постоянно совершенствуемую систему мер организационного, экономического, правового, информационного и кадрового характера, учитывающую федеративное устройство России, охватывающую федеральный, региональный и муниципальный уровни, направленную на устранение коренных причин коррупции в обществе и последовательно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реализуемую федеральными органами государственной власти, иными государственными органами, органами государственной власти субъектов РФ, органами местно самоуправления, институтами гражданского общества, организациями и физическими лицами.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Стратегия содержит план действий, как правило, разрабатываемый на краткосрочную перспективу. Так, </w:t>
      </w:r>
      <w:hyperlink r:id="rId4" w:history="1">
        <w:r w:rsidRPr="000A688A">
          <w:rPr>
            <w:rStyle w:val="a3"/>
            <w:rFonts w:ascii="Times New Roman" w:hAnsi="Times New Roman" w:cs="Times New Roman"/>
            <w:color w:val="4E8700"/>
            <w:sz w:val="24"/>
            <w:szCs w:val="24"/>
          </w:rPr>
          <w:t>Указом Президента РФ от 13.03.2012 г. № 297</w:t>
        </w:r>
      </w:hyperlink>
      <w:r w:rsidRPr="000A688A">
        <w:rPr>
          <w:rFonts w:ascii="Times New Roman" w:hAnsi="Times New Roman" w:cs="Times New Roman"/>
          <w:color w:val="000000"/>
          <w:sz w:val="24"/>
          <w:szCs w:val="24"/>
        </w:rPr>
        <w:t> был утверждён Национальный календарь противодействия коррупции на 2012-2013 годы.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Центральное место в правовых основах борьбы с коррупцией занимает </w:t>
      </w:r>
      <w:hyperlink r:id="rId5" w:history="1">
        <w:r w:rsidRPr="000A688A">
          <w:rPr>
            <w:rStyle w:val="a3"/>
            <w:rFonts w:ascii="Times New Roman" w:hAnsi="Times New Roman" w:cs="Times New Roman"/>
            <w:color w:val="4E8700"/>
            <w:sz w:val="24"/>
            <w:szCs w:val="24"/>
          </w:rPr>
          <w:t>Федеральный закон от 25.12.2008 г. № 273-ФЗ «О противодействии коррупции»</w:t>
        </w:r>
      </w:hyperlink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 (в редакции от 30.09.2013 г.). Федеральный закон «О противодействии коррупции» содержит основной понятийный аппарат в целях </w:t>
      </w:r>
      <w:proofErr w:type="spell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квалифицирования</w:t>
      </w:r>
      <w:proofErr w:type="spell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преступных деяний.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Согласно статьи 1 закона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коррупция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> – это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лицу другими физическими лицами».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В Федеральном законе «О противодействии коррупции» определяется, что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противодействие коррупции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> как деятельность федеральных органов государственной власти, органов государственной власти субъектов РФ, органов местного самоуправления и иных руководителей структурных подразделений, институтов гражданского общества, организаций и физических лиц по профилактике и борьбе с коррупцией осуществляется в пределах их полномочий.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Одним их ключевых направлений деятельности по повышению эффективности противодействия коррупции является совершенствование системы и структуры государственных органов, создание механизмов общественного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их деятельностью.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В статье 5 Федерального закона «О противодействии коррупции» закреплены организационные основы противодействия коррупции. Ключевой фигурой является Президент РФ, который в соответствии с Конституцией РФ определяет основные направления государственной политики, в том числе в области противодействия коррупции.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В статье 9 Федерального закона «О противодействии коррупции» чётко прослеживается </w:t>
      </w:r>
      <w:proofErr w:type="spell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начало, которое должно исходить от самого служащего: «государственный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правонарушений». Данное действие возможно только при хорошо 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развитых институтах гражданского общества, высокой культуре правосознания, хорошем экономическом содержании должностного лица и при его стимулировании в случае исполнения данного юридического поступка.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служебная проверка, является должностной обязанностью государственного или муниципального служащего. Её невыполнение является правонарушением, влекущим увольнение либо привлечение к иным видам ответственности в соответствии с законодательством РФ.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Государственный или муниципальный служащий,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РФ.</w:t>
      </w:r>
      <w:proofErr w:type="gramEnd"/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При прохождении государственной или муниципальной службы может возникнуть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 интересов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. Статья 10 Федерального закона «О противодействии коррупции» описывает его как ситуацию, «при которой личная заинтересованность (прямая или косвенная) государственного или муниципального служащего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влияет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государства».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Данные деяния могут выражаться в виде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Государственный или муниципальный служащий обязан в письменной форме уведомить своего непосредственного начальника о конфликте интересов или о возможности его возникновения, как только ему станет об этом известно.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в отказе его от выгоды, явившейся причиной возникновения конфликта интересов. Непринятие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РФ.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Пункт 33 статьи 2 </w:t>
      </w:r>
      <w:hyperlink r:id="rId6" w:history="1">
        <w:r w:rsidRPr="000A688A">
          <w:rPr>
            <w:rStyle w:val="a3"/>
            <w:rFonts w:ascii="Times New Roman" w:hAnsi="Times New Roman" w:cs="Times New Roman"/>
            <w:color w:val="4E8700"/>
            <w:sz w:val="24"/>
            <w:szCs w:val="24"/>
          </w:rPr>
          <w:t>Федерального закона от 29.12.2012 г. № 273-ФЗ «Об образовании в Российской Федерации»</w:t>
        </w:r>
      </w:hyperlink>
      <w:r w:rsidRPr="000A688A">
        <w:rPr>
          <w:rFonts w:ascii="Times New Roman" w:hAnsi="Times New Roman" w:cs="Times New Roman"/>
          <w:color w:val="000000"/>
          <w:sz w:val="24"/>
          <w:szCs w:val="24"/>
        </w:rPr>
        <w:t> определяет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 интересов педагогического работника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 как ситуацию, «при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  вследствие противоречия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личной заинтересованностью и 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интересами обучающихся, родителей несовершеннолетних обучающихся». Так, если педагог оказывает дополнительные платные образовательные услуги, у него может возникнуть заинтересованность в том, чтобы ученики, которых он обучает, имели низкий уровень знаний или их родители считали уровень знаний своих детей таковым.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48 Федерального закона от 29.12.2012 г. № 273-ФЗ «Об образовании в Российской Федерации»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образовательные услуги обучающимся в данной организации, если это приводит к конфликту интересов педагогического работника. Конфликт может быть решён обращением родителей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в комиссию по урегулированию споров.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Статья 13 Федерального закона «О противодействии коррупции» предусматривает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физических лиц за коррупционные правонарушения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«1.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2. Физическое лицо, совершившее коррупционное правонарушение, по решению суда может быть лишено в соответствии с законодательством РФ права занимать определённые должности государственной и муниципальной службы».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Согласно статье 13.1 Федерального закона «О противодействии коррупции» </w:t>
      </w:r>
      <w:r w:rsidRPr="000A6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увольнение (освобождение от должности) в связи с утратой доверия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t> осуществляется в случаях: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непринятия лицом мер по предотвращению и урегулированию конфликта интересов, стороной которого оно является;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осуществления предпринимательской деятельности;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законодательством РФ;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в случае непринятия лицом, замещающим государственную должность РФ, государственную должность субъекта РФ, муниципальную должность, мер по предотвращению или урегулированию конфликта интересов, стороной которого является подчинённое лицо.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Одним из наиболее действенных рычагов противодействия коррупции является уголовное законодательство, предусматривающее ответственность за коррупционные преступления физического лица.</w:t>
      </w:r>
    </w:p>
    <w:p w:rsidR="000A688A" w:rsidRPr="000A688A" w:rsidRDefault="000A688A" w:rsidP="000A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К коррупционным относят те составы преступлений, которые непосредственно связаны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взяточничеством и подкупом. В сфере образования  наибольшее распространение получили три группы, по которым наиболее часто привлекают к ответственности работников за совершённые преступления. В зависимости от качественных и количественных свойств они располагаются в определённой последовательности. Так, 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качественным свойством преступности в целом является её общественная опасность – под ней понимается угроза безопасности личности, обществу, государству. Для количественных свойств характерно то, что они определяются, прежде всего, по удельному весу в общем количестве зарегистрированных преступлений различной степени тяжести.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b/>
          <w:bCs/>
          <w:color w:val="000000"/>
        </w:rPr>
        <w:t>1.      К первой группе относят: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получение взятки (ст. 290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дача взятки (ст. 291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мошенничество (ст. 159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коммерческий подкуп (ст. 204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составы преступлений, которые сопряжены со злоупотреблением должностными полномочиями (ст. 285 УК РФ), либо злоупотреблениями полномочиями (ст. 201 УК РФ).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b/>
          <w:bCs/>
          <w:color w:val="000000"/>
        </w:rPr>
        <w:t>2.      Ко второй группе коррупционных преступлений следует относить: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присвоение и растрата (ст. 160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посредничество во взяточничестве (ст. 291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провокация взятки либо коммерческого подкупа (ст. 304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подкуп либо принуждение к даче показаний или уклонению от дачи показаний, либо неправильному переводу (ст. 309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0A688A">
        <w:rPr>
          <w:color w:val="000000"/>
        </w:rPr>
        <w:t>Вышеуказанные составы преступлений объединяет наличие обоюдовыгодной неправомерной сделки со стороны виновного и других лиц, которые предполагают получение денег, ценностей, услуг и пр. При этом виновными признаются как лица, передающие указанные ценности, так и лица, принимающие незаконное вознаграждение за совершение или устранение от каких-либо действий в пользу дающего.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b/>
          <w:bCs/>
          <w:color w:val="000000"/>
        </w:rPr>
        <w:t>3.      К третьей группе относятся преступления, посягающие на различные сферы общественных отношений: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превышение должностных полномочий (ст. 286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подкуп участников и организаторов профессиональных спортивных соревнований и зрелищных коммерческих конкурсов (ст. 184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фальсификация доказательств (ст. 303 УК РФ)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0A688A">
        <w:rPr>
          <w:color w:val="000000"/>
        </w:rPr>
        <w:t xml:space="preserve">Указанные составы преступлений следует относить к </w:t>
      </w:r>
      <w:proofErr w:type="gramStart"/>
      <w:r w:rsidRPr="000A688A">
        <w:rPr>
          <w:color w:val="000000"/>
        </w:rPr>
        <w:t>коррупционным</w:t>
      </w:r>
      <w:proofErr w:type="gramEnd"/>
      <w:r w:rsidRPr="000A688A">
        <w:rPr>
          <w:color w:val="000000"/>
        </w:rPr>
        <w:t xml:space="preserve"> только при одном условии – когда при их совершении заранее оговариваются условия для передачи и получения в качестве вознаграждения денег, ценностей, предоставления услуг. Однако в таких случаях ответственность может наступать не за взяточничество и подкуп, а за деяния, косвенно относящиеся к </w:t>
      </w:r>
      <w:proofErr w:type="gramStart"/>
      <w:r w:rsidRPr="000A688A">
        <w:rPr>
          <w:color w:val="000000"/>
        </w:rPr>
        <w:t>коррупционным</w:t>
      </w:r>
      <w:proofErr w:type="gramEnd"/>
      <w:r w:rsidRPr="000A688A">
        <w:rPr>
          <w:color w:val="000000"/>
        </w:rPr>
        <w:t>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0A688A">
        <w:rPr>
          <w:color w:val="000000"/>
        </w:rPr>
        <w:t xml:space="preserve">Следует также отметить, что законодательство к коррупционным </w:t>
      </w:r>
      <w:proofErr w:type="gramStart"/>
      <w:r w:rsidRPr="000A688A">
        <w:rPr>
          <w:color w:val="000000"/>
        </w:rPr>
        <w:t>относит</w:t>
      </w:r>
      <w:proofErr w:type="gramEnd"/>
      <w:r w:rsidRPr="000A688A">
        <w:rPr>
          <w:color w:val="000000"/>
        </w:rPr>
        <w:t xml:space="preserve"> прежде всего составы преступлений против государственной власти, интересов государственной службы и службы в органах местного самоуправления (гл. 30 УК РФ), а также преступления против интересов службы в коммерческих и иных организациях.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0A688A">
        <w:rPr>
          <w:color w:val="000000"/>
        </w:rPr>
        <w:t>В статье 14 Федерального закона «О противодействии коррупции», предусмотрена ответственность юридических лиц за коррупционные правонарушения.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0A688A">
        <w:rPr>
          <w:color w:val="000000"/>
        </w:rPr>
        <w:t>Кодекс Российской Федерации об административных правонарушениях (</w:t>
      </w:r>
      <w:proofErr w:type="spellStart"/>
      <w:r w:rsidRPr="000A688A">
        <w:rPr>
          <w:color w:val="000000"/>
        </w:rPr>
        <w:t>КоАП</w:t>
      </w:r>
      <w:proofErr w:type="spellEnd"/>
      <w:r w:rsidRPr="000A688A">
        <w:rPr>
          <w:color w:val="000000"/>
        </w:rPr>
        <w:t xml:space="preserve"> РФ) предусматривает денежные санкции для юридических лиц за коррупционные правонарушения: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ст. 19.28 «Незаконное вознаграждение от имени юридического лица»;</w:t>
      </w:r>
    </w:p>
    <w:p w:rsidR="000A688A" w:rsidRPr="000A688A" w:rsidRDefault="000A688A" w:rsidP="000A688A">
      <w:pPr>
        <w:pStyle w:val="a4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0A688A">
        <w:rPr>
          <w:color w:val="000000"/>
        </w:rPr>
        <w:t>-        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или муниципального служащего».</w:t>
      </w:r>
    </w:p>
    <w:p w:rsidR="000A688A" w:rsidRPr="000A688A" w:rsidRDefault="000A688A" w:rsidP="000A688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. 3 ст. 21 </w:t>
      </w:r>
      <w:proofErr w:type="spellStart"/>
      <w:r w:rsidRPr="000A688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0A688A">
        <w:rPr>
          <w:rFonts w:ascii="Times New Roman" w:hAnsi="Times New Roman" w:cs="Times New Roman"/>
          <w:color w:val="000000"/>
          <w:sz w:val="24"/>
          <w:szCs w:val="24"/>
        </w:rPr>
        <w:t xml:space="preserve">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</w:t>
      </w:r>
      <w:r w:rsidRPr="000A6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A688A" w:rsidRPr="000A688A" w:rsidRDefault="000A688A" w:rsidP="000A688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8A">
        <w:rPr>
          <w:rFonts w:ascii="Times New Roman" w:hAnsi="Times New Roman" w:cs="Times New Roman"/>
          <w:color w:val="000000"/>
          <w:sz w:val="24"/>
          <w:szCs w:val="24"/>
        </w:rPr>
        <w:t>При этом ст. 19 УК РФ определяет, что уголовной ответственности подлежит только вменяемое физическое лицо, достигшее возраста, установленного настоящим кодексом.</w:t>
      </w:r>
    </w:p>
    <w:p w:rsidR="000A688A" w:rsidRPr="000A688A" w:rsidRDefault="000A688A" w:rsidP="000A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F48" w:rsidRPr="000A688A" w:rsidRDefault="00FB5F48" w:rsidP="000A68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5F48" w:rsidRPr="000A688A" w:rsidSect="00E8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688A"/>
    <w:rsid w:val="000A688A"/>
    <w:rsid w:val="00FB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y64.ucoz.ru/_tbkp/korrypcia/zakon_ob_obrazovanii_273_ot_29.12.2012_g..docx" TargetMode="External"/><Relationship Id="rId5" Type="http://schemas.openxmlformats.org/officeDocument/2006/relationships/hyperlink" Target="http://doy64.ucoz.ru/_tbkp/korrypcia/federalnyj_zakon_o_protivodejstvii_korrupcii.pdf" TargetMode="External"/><Relationship Id="rId4" Type="http://schemas.openxmlformats.org/officeDocument/2006/relationships/hyperlink" Target="http://doy64.ucoz.ru/_tbkp/korrypcia/ukaz_prezidenta_2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11905</Characters>
  <Application>Microsoft Office Word</Application>
  <DocSecurity>0</DocSecurity>
  <Lines>99</Lines>
  <Paragraphs>27</Paragraphs>
  <ScaleCrop>false</ScaleCrop>
  <Company>HP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809701</dc:creator>
  <cp:keywords/>
  <dc:description/>
  <cp:lastModifiedBy>809701</cp:lastModifiedBy>
  <cp:revision>2</cp:revision>
  <dcterms:created xsi:type="dcterms:W3CDTF">2021-03-01T17:32:00Z</dcterms:created>
  <dcterms:modified xsi:type="dcterms:W3CDTF">2021-03-01T17:33:00Z</dcterms:modified>
</cp:coreProperties>
</file>